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942" w:rsidRPr="008F2942" w:rsidRDefault="008F2942" w:rsidP="008F2942">
      <w:pPr>
        <w:rPr>
          <w:rFonts w:asciiTheme="minorHAnsi" w:hAnsiTheme="minorHAnsi"/>
          <w:b/>
        </w:rPr>
      </w:pPr>
      <w:r w:rsidRPr="008F2942">
        <w:rPr>
          <w:rFonts w:asciiTheme="minorHAnsi" w:hAnsiTheme="minorHAnsi"/>
          <w:b/>
        </w:rPr>
        <w:t>Grading Policies</w:t>
      </w:r>
    </w:p>
    <w:p w:rsidR="008F2942" w:rsidRPr="008F2942" w:rsidRDefault="008F2942" w:rsidP="008F2942">
      <w:pPr>
        <w:rPr>
          <w:rFonts w:asciiTheme="minorHAnsi" w:hAnsiTheme="minorHAnsi"/>
        </w:rPr>
      </w:pPr>
      <w:r w:rsidRPr="008F2942">
        <w:rPr>
          <w:rFonts w:asciiTheme="minorHAnsi" w:hAnsiTheme="minorHAnsi"/>
        </w:rPr>
        <w:t>You will receive detailed rubrics for all major assignments and lists of expectations for other minor writings. The University of Iowa uses an A through F grading system. I consider a grade of C to be competent work that meets all of the requirements of the assignment and the class. My grading policy is as follows:</w:t>
      </w:r>
    </w:p>
    <w:p w:rsidR="008F2942" w:rsidRPr="008F2942" w:rsidRDefault="008F2942" w:rsidP="008F2942">
      <w:pPr>
        <w:rPr>
          <w:rFonts w:asciiTheme="minorHAnsi" w:hAnsiTheme="minorHAnsi"/>
          <w:b/>
          <w:color w:val="000000" w:themeColor="text1"/>
        </w:rPr>
      </w:pPr>
      <w:r w:rsidRPr="008F2942">
        <w:rPr>
          <w:rFonts w:asciiTheme="minorHAnsi" w:hAnsiTheme="minorHAnsi"/>
          <w:i/>
          <w:color w:val="000000" w:themeColor="text1"/>
          <w:szCs w:val="20"/>
        </w:rPr>
        <w:t>A grade of C</w:t>
      </w:r>
      <w:r w:rsidRPr="008F2942">
        <w:rPr>
          <w:rFonts w:asciiTheme="minorHAnsi" w:hAnsiTheme="minorHAnsi"/>
          <w:color w:val="000000" w:themeColor="text1"/>
          <w:szCs w:val="20"/>
        </w:rPr>
        <w:t>: You can earn a C by attending class regularly and punctually, completing with competence all of the work assigned and participating regularly in class activities and online discussion.  This requires 1) adequately meeting all criteria for assignments</w:t>
      </w:r>
      <w:proofErr w:type="gramStart"/>
      <w:r w:rsidRPr="008F2942">
        <w:rPr>
          <w:rFonts w:asciiTheme="minorHAnsi" w:hAnsiTheme="minorHAnsi"/>
          <w:color w:val="000000" w:themeColor="text1"/>
          <w:szCs w:val="20"/>
        </w:rPr>
        <w:t>;</w:t>
      </w:r>
      <w:proofErr w:type="gramEnd"/>
      <w:r w:rsidRPr="008F2942">
        <w:rPr>
          <w:rFonts w:asciiTheme="minorHAnsi" w:hAnsiTheme="minorHAnsi"/>
          <w:color w:val="000000" w:themeColor="text1"/>
          <w:szCs w:val="20"/>
        </w:rPr>
        <w:t xml:space="preserve"> and 2) completing reading assignments on time and being prepared to share your opinions on the texts in class and during discussions.</w:t>
      </w:r>
    </w:p>
    <w:p w:rsidR="008F2942" w:rsidRPr="008F2942" w:rsidRDefault="008F2942" w:rsidP="008F2942">
      <w:pPr>
        <w:rPr>
          <w:rFonts w:asciiTheme="minorHAnsi" w:hAnsiTheme="minorHAnsi"/>
          <w:color w:val="000000" w:themeColor="text1"/>
          <w:szCs w:val="20"/>
        </w:rPr>
      </w:pPr>
      <w:r w:rsidRPr="008F2942">
        <w:rPr>
          <w:rFonts w:asciiTheme="minorHAnsi" w:hAnsiTheme="minorHAnsi"/>
          <w:i/>
          <w:color w:val="000000" w:themeColor="text1"/>
          <w:szCs w:val="20"/>
        </w:rPr>
        <w:t>A grade of B:</w:t>
      </w:r>
      <w:r w:rsidRPr="008F2942">
        <w:rPr>
          <w:rFonts w:asciiTheme="minorHAnsi" w:hAnsiTheme="minorHAnsi"/>
          <w:color w:val="000000" w:themeColor="text1"/>
          <w:szCs w:val="20"/>
        </w:rPr>
        <w:t xml:space="preserve"> You can earn a B by fulfilling all of the C requirements while demonstrating a significantly higher level of effort and competence on all work assigned for the class.  To earn a B you must show an interest in energetically, creatively, and critically engaging with the material and assignments.  B work typically reflects independent thinking.  The B student is self-reflexive and often asks questions such as “How can I make my work better?  How can I revise this? How can I make my work unique and interesting? How can I help the class have productive and energetic discussions?”</w:t>
      </w:r>
    </w:p>
    <w:p w:rsidR="008F2942" w:rsidRPr="008F2942" w:rsidRDefault="008F2942" w:rsidP="008F2942">
      <w:pPr>
        <w:rPr>
          <w:rFonts w:asciiTheme="minorHAnsi" w:hAnsiTheme="minorHAnsi"/>
          <w:color w:val="000000" w:themeColor="text1"/>
          <w:szCs w:val="20"/>
        </w:rPr>
      </w:pPr>
      <w:r w:rsidRPr="008F2942">
        <w:rPr>
          <w:rFonts w:asciiTheme="minorHAnsi" w:hAnsiTheme="minorHAnsi"/>
          <w:i/>
          <w:color w:val="000000" w:themeColor="text1"/>
          <w:szCs w:val="20"/>
        </w:rPr>
        <w:t>A grade of A</w:t>
      </w:r>
      <w:r w:rsidRPr="008F2942">
        <w:rPr>
          <w:rFonts w:asciiTheme="minorHAnsi" w:hAnsiTheme="minorHAnsi"/>
          <w:color w:val="000000" w:themeColor="text1"/>
          <w:szCs w:val="20"/>
        </w:rPr>
        <w:t xml:space="preserve">: To receive an A in the course, you must surpass the requirements for B work as well as demonstrate a high level of critical thinking and offer original analyses.  </w:t>
      </w:r>
      <w:proofErr w:type="gramStart"/>
      <w:r w:rsidRPr="008F2942">
        <w:rPr>
          <w:rFonts w:asciiTheme="minorHAnsi" w:hAnsiTheme="minorHAnsi"/>
          <w:color w:val="000000" w:themeColor="text1"/>
          <w:szCs w:val="20"/>
        </w:rPr>
        <w:t>A students</w:t>
      </w:r>
      <w:proofErr w:type="gramEnd"/>
      <w:r w:rsidRPr="008F2942">
        <w:rPr>
          <w:rFonts w:asciiTheme="minorHAnsi" w:hAnsiTheme="minorHAnsi"/>
          <w:color w:val="000000" w:themeColor="text1"/>
          <w:szCs w:val="20"/>
        </w:rPr>
        <w:t xml:space="preserve"> interrogate all sides of issues enthusiastically in order to clarify their own opinions.  A students don’t skip class, fail to honor deadlines for any reason, or show up unprepared to discuss the reading, or workshop others’ work. </w:t>
      </w:r>
      <w:proofErr w:type="gramStart"/>
      <w:r w:rsidRPr="008F2942">
        <w:rPr>
          <w:rFonts w:asciiTheme="minorHAnsi" w:hAnsiTheme="minorHAnsi"/>
          <w:color w:val="000000" w:themeColor="text1"/>
          <w:szCs w:val="20"/>
        </w:rPr>
        <w:t>A students</w:t>
      </w:r>
      <w:proofErr w:type="gramEnd"/>
      <w:r w:rsidRPr="008F2942">
        <w:rPr>
          <w:rFonts w:asciiTheme="minorHAnsi" w:hAnsiTheme="minorHAnsi"/>
          <w:color w:val="000000" w:themeColor="text1"/>
          <w:szCs w:val="20"/>
        </w:rPr>
        <w:t xml:space="preserve"> will instead be willing to make intellectual discoveries and demonstrate an effort to inquire further into commonly understood issues. </w:t>
      </w:r>
    </w:p>
    <w:p w:rsidR="008F2942" w:rsidRPr="008F2942" w:rsidRDefault="008F2942" w:rsidP="008F2942">
      <w:pPr>
        <w:rPr>
          <w:rFonts w:asciiTheme="minorHAnsi" w:hAnsiTheme="minorHAnsi"/>
          <w:color w:val="000000" w:themeColor="text1"/>
          <w:szCs w:val="20"/>
        </w:rPr>
      </w:pPr>
      <w:r w:rsidRPr="008F2942">
        <w:rPr>
          <w:rFonts w:asciiTheme="minorHAnsi" w:hAnsiTheme="minorHAnsi"/>
          <w:i/>
          <w:color w:val="000000" w:themeColor="text1"/>
          <w:szCs w:val="20"/>
        </w:rPr>
        <w:t>A grade of D</w:t>
      </w:r>
      <w:r w:rsidRPr="008F2942">
        <w:rPr>
          <w:rFonts w:asciiTheme="minorHAnsi" w:hAnsiTheme="minorHAnsi"/>
          <w:color w:val="000000" w:themeColor="text1"/>
          <w:szCs w:val="20"/>
        </w:rPr>
        <w:t>: You can earn a D by not fulfilling your responsibilities outlined under “Grade of C” criteria, and/or failing to show respect for or interest in your fellow students’ presentations of ideas.  A D student is a student who has many excuses but few completed assignments.  For example, D students often fail to hand in reading responses and then claim later that they were ill or had a family emergency.  D students are generally disinterested students who refuse to take an active role in making the class energetic and productive.</w:t>
      </w:r>
    </w:p>
    <w:p w:rsidR="008F2942" w:rsidRPr="008F2942" w:rsidRDefault="008F2942" w:rsidP="008F2942">
      <w:pPr>
        <w:rPr>
          <w:rFonts w:asciiTheme="minorHAnsi" w:hAnsiTheme="minorHAnsi"/>
          <w:color w:val="000000" w:themeColor="text1"/>
          <w:szCs w:val="20"/>
        </w:rPr>
      </w:pPr>
      <w:r w:rsidRPr="008F2942">
        <w:rPr>
          <w:rFonts w:asciiTheme="minorHAnsi" w:hAnsiTheme="minorHAnsi"/>
          <w:i/>
          <w:color w:val="000000" w:themeColor="text1"/>
          <w:szCs w:val="20"/>
        </w:rPr>
        <w:t>A grade of F</w:t>
      </w:r>
      <w:r w:rsidRPr="008F2942">
        <w:rPr>
          <w:rFonts w:asciiTheme="minorHAnsi" w:hAnsiTheme="minorHAnsi"/>
          <w:color w:val="000000" w:themeColor="text1"/>
          <w:szCs w:val="20"/>
        </w:rPr>
        <w:t xml:space="preserve">: You will receive an F by not completing assignments, not coming to class, and not contributing to class discussions when you are present.  </w:t>
      </w:r>
    </w:p>
    <w:p w:rsidR="008F2942" w:rsidRDefault="008F2942"/>
    <w:p w:rsidR="008F2942" w:rsidRDefault="008F2942"/>
    <w:p w:rsidR="008F2942" w:rsidRDefault="008F2942">
      <w:pPr>
        <w:rPr>
          <w:b/>
        </w:rPr>
      </w:pPr>
      <w:r>
        <w:rPr>
          <w:b/>
        </w:rPr>
        <w:t>CLAS Grade Distribution</w:t>
      </w:r>
    </w:p>
    <w:p w:rsidR="008F2942" w:rsidRDefault="008F2942">
      <w:pPr>
        <w:rPr>
          <w:b/>
        </w:rPr>
      </w:pPr>
    </w:p>
    <w:tbl>
      <w:tblPr>
        <w:tblW w:w="0" w:type="auto"/>
        <w:tblBorders>
          <w:top w:val="nil"/>
          <w:left w:val="nil"/>
          <w:bottom w:val="nil"/>
          <w:right w:val="nil"/>
          <w:insideH w:val="nil"/>
          <w:insideV w:val="nil"/>
        </w:tblBorders>
        <w:tblLook w:val="00BE"/>
      </w:tblPr>
      <w:tblGrid>
        <w:gridCol w:w="1915"/>
        <w:gridCol w:w="1915"/>
        <w:gridCol w:w="1915"/>
        <w:gridCol w:w="1915"/>
        <w:gridCol w:w="1916"/>
      </w:tblGrid>
      <w:tr w:rsidR="008F2942" w:rsidRPr="008F2942">
        <w:tblPrEx>
          <w:tblCellMar>
            <w:top w:w="0" w:type="dxa"/>
            <w:bottom w:w="0" w:type="dxa"/>
          </w:tblCellMar>
        </w:tblPrEx>
        <w:tc>
          <w:tcPr>
            <w:tcW w:w="1915" w:type="dxa"/>
            <w:shd w:val="clear" w:color="auto" w:fill="auto"/>
          </w:tcPr>
          <w:p w:rsidR="008F2942" w:rsidRPr="008F2942" w:rsidRDefault="008F2942" w:rsidP="008F2942">
            <w:pPr>
              <w:jc w:val="center"/>
              <w:rPr>
                <w:b/>
              </w:rPr>
            </w:pPr>
            <w:r>
              <w:rPr>
                <w:b/>
              </w:rPr>
              <w:t>A</w:t>
            </w:r>
          </w:p>
        </w:tc>
        <w:tc>
          <w:tcPr>
            <w:tcW w:w="1915" w:type="dxa"/>
            <w:shd w:val="clear" w:color="auto" w:fill="auto"/>
          </w:tcPr>
          <w:p w:rsidR="008F2942" w:rsidRPr="008F2942" w:rsidRDefault="008F2942" w:rsidP="008F2942">
            <w:pPr>
              <w:jc w:val="center"/>
              <w:rPr>
                <w:b/>
              </w:rPr>
            </w:pPr>
            <w:r>
              <w:rPr>
                <w:b/>
              </w:rPr>
              <w:t>B</w:t>
            </w:r>
          </w:p>
        </w:tc>
        <w:tc>
          <w:tcPr>
            <w:tcW w:w="1915" w:type="dxa"/>
            <w:shd w:val="clear" w:color="auto" w:fill="auto"/>
          </w:tcPr>
          <w:p w:rsidR="008F2942" w:rsidRPr="008F2942" w:rsidRDefault="008F2942" w:rsidP="008F2942">
            <w:pPr>
              <w:jc w:val="center"/>
              <w:rPr>
                <w:b/>
              </w:rPr>
            </w:pPr>
            <w:r>
              <w:rPr>
                <w:b/>
              </w:rPr>
              <w:t>C</w:t>
            </w:r>
          </w:p>
        </w:tc>
        <w:tc>
          <w:tcPr>
            <w:tcW w:w="1915" w:type="dxa"/>
            <w:shd w:val="clear" w:color="auto" w:fill="auto"/>
          </w:tcPr>
          <w:p w:rsidR="008F2942" w:rsidRPr="008F2942" w:rsidRDefault="008F2942" w:rsidP="008F2942">
            <w:pPr>
              <w:jc w:val="center"/>
              <w:rPr>
                <w:b/>
              </w:rPr>
            </w:pPr>
            <w:r>
              <w:rPr>
                <w:b/>
              </w:rPr>
              <w:t>D</w:t>
            </w:r>
          </w:p>
        </w:tc>
        <w:tc>
          <w:tcPr>
            <w:tcW w:w="1916" w:type="dxa"/>
            <w:shd w:val="clear" w:color="auto" w:fill="auto"/>
          </w:tcPr>
          <w:p w:rsidR="008F2942" w:rsidRPr="008F2942" w:rsidRDefault="008F2942" w:rsidP="008F2942">
            <w:pPr>
              <w:jc w:val="center"/>
              <w:rPr>
                <w:b/>
              </w:rPr>
            </w:pPr>
            <w:r>
              <w:rPr>
                <w:b/>
              </w:rPr>
              <w:t>F</w:t>
            </w:r>
          </w:p>
        </w:tc>
      </w:tr>
      <w:tr w:rsidR="008F2942" w:rsidRPr="008F2942">
        <w:tblPrEx>
          <w:tblCellMar>
            <w:top w:w="0" w:type="dxa"/>
            <w:bottom w:w="0" w:type="dxa"/>
          </w:tblCellMar>
        </w:tblPrEx>
        <w:tc>
          <w:tcPr>
            <w:tcW w:w="1915" w:type="dxa"/>
            <w:shd w:val="clear" w:color="auto" w:fill="auto"/>
          </w:tcPr>
          <w:p w:rsidR="008F2942" w:rsidRPr="008F2942" w:rsidRDefault="008F2942" w:rsidP="008F2942">
            <w:pPr>
              <w:jc w:val="center"/>
              <w:rPr>
                <w:b/>
              </w:rPr>
            </w:pPr>
            <w:r>
              <w:rPr>
                <w:b/>
              </w:rPr>
              <w:t>15%</w:t>
            </w:r>
          </w:p>
        </w:tc>
        <w:tc>
          <w:tcPr>
            <w:tcW w:w="1915" w:type="dxa"/>
            <w:shd w:val="clear" w:color="auto" w:fill="auto"/>
          </w:tcPr>
          <w:p w:rsidR="008F2942" w:rsidRPr="008F2942" w:rsidRDefault="008F2942" w:rsidP="008F2942">
            <w:pPr>
              <w:jc w:val="center"/>
              <w:rPr>
                <w:b/>
              </w:rPr>
            </w:pPr>
            <w:r>
              <w:rPr>
                <w:b/>
              </w:rPr>
              <w:t>34%</w:t>
            </w:r>
          </w:p>
        </w:tc>
        <w:tc>
          <w:tcPr>
            <w:tcW w:w="1915" w:type="dxa"/>
            <w:shd w:val="clear" w:color="auto" w:fill="auto"/>
          </w:tcPr>
          <w:p w:rsidR="008F2942" w:rsidRPr="008F2942" w:rsidRDefault="008F2942" w:rsidP="008F2942">
            <w:pPr>
              <w:jc w:val="center"/>
              <w:rPr>
                <w:b/>
              </w:rPr>
            </w:pPr>
            <w:r>
              <w:rPr>
                <w:b/>
              </w:rPr>
              <w:t>40%</w:t>
            </w:r>
          </w:p>
        </w:tc>
        <w:tc>
          <w:tcPr>
            <w:tcW w:w="1915" w:type="dxa"/>
            <w:shd w:val="clear" w:color="auto" w:fill="auto"/>
          </w:tcPr>
          <w:p w:rsidR="008F2942" w:rsidRPr="008F2942" w:rsidRDefault="008F2942" w:rsidP="008F2942">
            <w:pPr>
              <w:jc w:val="center"/>
              <w:rPr>
                <w:b/>
              </w:rPr>
            </w:pPr>
            <w:r>
              <w:rPr>
                <w:b/>
              </w:rPr>
              <w:t>8%</w:t>
            </w:r>
          </w:p>
        </w:tc>
        <w:tc>
          <w:tcPr>
            <w:tcW w:w="1916" w:type="dxa"/>
            <w:shd w:val="clear" w:color="auto" w:fill="auto"/>
          </w:tcPr>
          <w:p w:rsidR="008F2942" w:rsidRPr="008F2942" w:rsidRDefault="008F2942" w:rsidP="008F2942">
            <w:pPr>
              <w:jc w:val="center"/>
              <w:rPr>
                <w:b/>
              </w:rPr>
            </w:pPr>
            <w:r>
              <w:rPr>
                <w:b/>
              </w:rPr>
              <w:t>3%</w:t>
            </w:r>
          </w:p>
        </w:tc>
      </w:tr>
    </w:tbl>
    <w:p w:rsidR="00427647" w:rsidRDefault="00427647">
      <w:pPr>
        <w:rPr>
          <w:b/>
        </w:rPr>
      </w:pPr>
    </w:p>
    <w:p w:rsidR="00624202" w:rsidRDefault="00427647">
      <w:pPr>
        <w:rPr>
          <w:rFonts w:asciiTheme="minorHAnsi" w:hAnsiTheme="minorHAnsi"/>
          <w:b/>
        </w:rPr>
      </w:pPr>
      <w:r>
        <w:rPr>
          <w:b/>
        </w:rPr>
        <w:br w:type="page"/>
      </w:r>
      <w:r w:rsidRPr="00427647">
        <w:rPr>
          <w:rFonts w:asciiTheme="minorHAnsi" w:hAnsiTheme="minorHAnsi"/>
          <w:b/>
        </w:rPr>
        <w:t>Rhe</w:t>
      </w:r>
      <w:r>
        <w:rPr>
          <w:rFonts w:asciiTheme="minorHAnsi" w:hAnsiTheme="minorHAnsi"/>
          <w:b/>
        </w:rPr>
        <w:t>toric Thesis</w:t>
      </w:r>
    </w:p>
    <w:p w:rsidR="00624202" w:rsidRDefault="00624202">
      <w:pPr>
        <w:rPr>
          <w:rFonts w:asciiTheme="minorHAnsi" w:hAnsiTheme="minorHAnsi"/>
        </w:rPr>
      </w:pPr>
      <w:r>
        <w:rPr>
          <w:rFonts w:asciiTheme="minorHAnsi" w:hAnsiTheme="minorHAnsi"/>
        </w:rPr>
        <w:t xml:space="preserve">“By comparison, Smith’s rhetorical strategies allow for a deeper analysis of her argument and ultimately better her piece as a whole, whereas Thompson merely brushes upon unoriginal ideas with only limited depth. “Less is more” is the common conception among scholars, but in this case proves to be of higher effectiveness.” </w:t>
      </w:r>
    </w:p>
    <w:p w:rsidR="00624202" w:rsidRDefault="00624202">
      <w:pPr>
        <w:rPr>
          <w:rFonts w:asciiTheme="minorHAnsi" w:hAnsiTheme="minorHAnsi"/>
        </w:rPr>
      </w:pPr>
    </w:p>
    <w:p w:rsidR="00427647" w:rsidRPr="00624202" w:rsidRDefault="00624202">
      <w:pPr>
        <w:rPr>
          <w:rFonts w:asciiTheme="minorHAnsi" w:hAnsiTheme="minorHAnsi"/>
        </w:rPr>
      </w:pPr>
      <w:r>
        <w:rPr>
          <w:rFonts w:asciiTheme="minorHAnsi" w:hAnsiTheme="minorHAnsi"/>
        </w:rPr>
        <w:t>“This controversial issue of embryonic stem cell research is splintered on the moral values of the collective body as a whole and the moral values of the lone individual.”</w:t>
      </w:r>
    </w:p>
    <w:p w:rsidR="00427647" w:rsidRDefault="00427647">
      <w:pPr>
        <w:rPr>
          <w:rFonts w:asciiTheme="minorHAnsi" w:hAnsiTheme="minorHAnsi"/>
          <w:b/>
        </w:rPr>
      </w:pPr>
    </w:p>
    <w:p w:rsidR="00624202" w:rsidRDefault="00427647">
      <w:pPr>
        <w:rPr>
          <w:rFonts w:asciiTheme="minorHAnsi" w:hAnsiTheme="minorHAnsi"/>
          <w:b/>
        </w:rPr>
      </w:pPr>
      <w:r>
        <w:rPr>
          <w:rFonts w:asciiTheme="minorHAnsi" w:hAnsiTheme="minorHAnsi"/>
          <w:b/>
        </w:rPr>
        <w:t>Interpretation of Literature Thesis</w:t>
      </w:r>
    </w:p>
    <w:p w:rsidR="00624202" w:rsidRDefault="00624202">
      <w:pPr>
        <w:rPr>
          <w:rFonts w:asciiTheme="minorHAnsi" w:hAnsiTheme="minorHAnsi"/>
          <w:b/>
        </w:rPr>
      </w:pPr>
    </w:p>
    <w:p w:rsidR="004D77C9" w:rsidRDefault="00624202">
      <w:pPr>
        <w:rPr>
          <w:rFonts w:asciiTheme="minorHAnsi" w:hAnsiTheme="minorHAnsi"/>
        </w:rPr>
      </w:pPr>
      <w:r>
        <w:rPr>
          <w:rFonts w:asciiTheme="minorHAnsi" w:hAnsiTheme="minorHAnsi"/>
        </w:rPr>
        <w:t>“In “Man in the Black Suit,” Steven King proclaims that in order for a boy to develop emotionally and socially, he must create separation from his mother and be guided by his father.”</w:t>
      </w:r>
    </w:p>
    <w:p w:rsidR="004D77C9" w:rsidRDefault="004D77C9">
      <w:pPr>
        <w:rPr>
          <w:rFonts w:asciiTheme="minorHAnsi" w:hAnsiTheme="minorHAnsi"/>
        </w:rPr>
      </w:pPr>
    </w:p>
    <w:p w:rsidR="00427647" w:rsidRPr="004D77C9" w:rsidRDefault="004D77C9">
      <w:pPr>
        <w:rPr>
          <w:rFonts w:asciiTheme="minorHAnsi" w:hAnsiTheme="minorHAnsi"/>
        </w:rPr>
      </w:pPr>
      <w:r>
        <w:rPr>
          <w:rFonts w:asciiTheme="minorHAnsi" w:hAnsiTheme="minorHAnsi"/>
        </w:rPr>
        <w:t xml:space="preserve">“Just like </w:t>
      </w:r>
      <w:proofErr w:type="spellStart"/>
      <w:r>
        <w:rPr>
          <w:rFonts w:asciiTheme="minorHAnsi" w:hAnsiTheme="minorHAnsi"/>
        </w:rPr>
        <w:t>Foer’s</w:t>
      </w:r>
      <w:proofErr w:type="spellEnd"/>
      <w:r>
        <w:rPr>
          <w:rFonts w:asciiTheme="minorHAnsi" w:hAnsiTheme="minorHAnsi"/>
        </w:rPr>
        <w:t xml:space="preserve"> characters, we are all searching for something, and at its core, </w:t>
      </w:r>
      <w:r>
        <w:rPr>
          <w:rFonts w:asciiTheme="minorHAnsi" w:hAnsiTheme="minorHAnsi"/>
          <w:i/>
        </w:rPr>
        <w:t>Everything is Illuminated</w:t>
      </w:r>
      <w:r>
        <w:rPr>
          <w:rFonts w:asciiTheme="minorHAnsi" w:hAnsiTheme="minorHAnsi"/>
        </w:rPr>
        <w:t xml:space="preserve"> explores everyone’s deep need for finding peace and contentment. The only way this can be achieved, </w:t>
      </w:r>
      <w:proofErr w:type="spellStart"/>
      <w:r>
        <w:rPr>
          <w:rFonts w:asciiTheme="minorHAnsi" w:hAnsiTheme="minorHAnsi"/>
        </w:rPr>
        <w:t>Foer</w:t>
      </w:r>
      <w:proofErr w:type="spellEnd"/>
      <w:r>
        <w:rPr>
          <w:rFonts w:asciiTheme="minorHAnsi" w:hAnsiTheme="minorHAnsi"/>
        </w:rPr>
        <w:t xml:space="preserve"> argues, is through facing our traumatic memories and letting go of them in order to move forward.”</w:t>
      </w:r>
    </w:p>
    <w:p w:rsidR="00EB1F19" w:rsidRDefault="00EB1F19">
      <w:pPr>
        <w:rPr>
          <w:rFonts w:asciiTheme="minorHAnsi" w:hAnsiTheme="minorHAnsi"/>
          <w:b/>
        </w:rPr>
      </w:pPr>
      <w:r>
        <w:rPr>
          <w:rFonts w:asciiTheme="minorHAnsi" w:hAnsiTheme="minorHAnsi"/>
          <w:b/>
        </w:rPr>
        <w:br w:type="page"/>
        <w:t>Scaffolding: The First Two Weeks</w:t>
      </w:r>
    </w:p>
    <w:p w:rsidR="00EB1F19" w:rsidRDefault="00EB1F19">
      <w:pPr>
        <w:rPr>
          <w:rFonts w:asciiTheme="minorHAnsi" w:hAnsiTheme="minorHAnsi"/>
          <w:b/>
        </w:rPr>
      </w:pPr>
    </w:p>
    <w:p w:rsidR="00EB1F19" w:rsidRDefault="00EB1F19">
      <w:pPr>
        <w:rPr>
          <w:rFonts w:asciiTheme="minorHAnsi" w:hAnsiTheme="minorHAnsi"/>
          <w:b/>
        </w:rPr>
      </w:pPr>
    </w:p>
    <w:tbl>
      <w:tblPr>
        <w:tblStyle w:val="TableGrid"/>
        <w:tblW w:w="0" w:type="auto"/>
        <w:tblLook w:val="00BF"/>
      </w:tblPr>
      <w:tblGrid>
        <w:gridCol w:w="1998"/>
        <w:gridCol w:w="7578"/>
      </w:tblGrid>
      <w:tr w:rsidR="00EB1F19" w:rsidRPr="002936C4">
        <w:tc>
          <w:tcPr>
            <w:tcW w:w="9576" w:type="dxa"/>
            <w:gridSpan w:val="2"/>
          </w:tcPr>
          <w:p w:rsidR="00EB1F19" w:rsidRPr="002936C4" w:rsidRDefault="00EB1F19" w:rsidP="002936C4">
            <w:pPr>
              <w:jc w:val="center"/>
              <w:rPr>
                <w:rFonts w:ascii="Garamond" w:hAnsi="Garamond"/>
                <w:b/>
              </w:rPr>
            </w:pPr>
            <w:r>
              <w:rPr>
                <w:rFonts w:ascii="Garamond" w:hAnsi="Garamond"/>
                <w:b/>
              </w:rPr>
              <w:t>WEEK 1</w:t>
            </w:r>
          </w:p>
        </w:tc>
      </w:tr>
      <w:tr w:rsidR="00EB1F19" w:rsidRPr="00DE1EE6">
        <w:tc>
          <w:tcPr>
            <w:tcW w:w="1998" w:type="dxa"/>
          </w:tcPr>
          <w:p w:rsidR="00EB1F19" w:rsidRDefault="00EB1F19">
            <w:pPr>
              <w:rPr>
                <w:rFonts w:ascii="Garamond" w:hAnsi="Garamond"/>
              </w:rPr>
            </w:pPr>
            <w:r>
              <w:rPr>
                <w:rFonts w:ascii="Garamond" w:hAnsi="Garamond"/>
              </w:rPr>
              <w:t>Monday 8/25</w:t>
            </w:r>
          </w:p>
          <w:p w:rsidR="00EB1F19" w:rsidRPr="00DE1EE6" w:rsidRDefault="00EB1F19" w:rsidP="00AA58B1">
            <w:pPr>
              <w:rPr>
                <w:rFonts w:ascii="Garamond" w:hAnsi="Garamond"/>
                <w:i/>
              </w:rPr>
            </w:pPr>
            <w:r>
              <w:rPr>
                <w:rFonts w:ascii="Garamond" w:hAnsi="Garamond"/>
                <w:i/>
              </w:rPr>
              <w:t>I. The Transformative Power of Literature</w:t>
            </w:r>
          </w:p>
        </w:tc>
        <w:tc>
          <w:tcPr>
            <w:tcW w:w="7578" w:type="dxa"/>
          </w:tcPr>
          <w:p w:rsidR="00EB1F19" w:rsidRDefault="00EB1F19">
            <w:pPr>
              <w:rPr>
                <w:rFonts w:ascii="Garamond" w:hAnsi="Garamond"/>
              </w:rPr>
            </w:pPr>
            <w:r>
              <w:rPr>
                <w:rFonts w:ascii="Garamond" w:hAnsi="Garamond"/>
              </w:rPr>
              <w:t>Syllabus, Introductions</w:t>
            </w:r>
          </w:p>
          <w:p w:rsidR="00EB1F19" w:rsidRDefault="00EB1F19">
            <w:pPr>
              <w:rPr>
                <w:rFonts w:ascii="Garamond" w:hAnsi="Garamond"/>
              </w:rPr>
            </w:pPr>
          </w:p>
          <w:p w:rsidR="00EB1F19" w:rsidRPr="00DE1EE6" w:rsidRDefault="00EB1F19">
            <w:pPr>
              <w:rPr>
                <w:rFonts w:ascii="Garamond" w:hAnsi="Garamond"/>
              </w:rPr>
            </w:pPr>
            <w:r>
              <w:rPr>
                <w:rFonts w:ascii="Garamond" w:hAnsi="Garamond"/>
                <w:b/>
              </w:rPr>
              <w:t xml:space="preserve">In Class: </w:t>
            </w:r>
            <w:r>
              <w:rPr>
                <w:rFonts w:ascii="Garamond" w:hAnsi="Garamond"/>
              </w:rPr>
              <w:t xml:space="preserve">Sherman </w:t>
            </w:r>
            <w:proofErr w:type="spellStart"/>
            <w:r>
              <w:rPr>
                <w:rFonts w:ascii="Garamond" w:hAnsi="Garamond"/>
              </w:rPr>
              <w:t>Alexie</w:t>
            </w:r>
            <w:proofErr w:type="spellEnd"/>
            <w:r>
              <w:rPr>
                <w:rFonts w:ascii="Garamond" w:hAnsi="Garamond"/>
              </w:rPr>
              <w:t xml:space="preserve">, “Superman and Me” (Hand-Out); </w:t>
            </w:r>
            <w:proofErr w:type="spellStart"/>
            <w:r>
              <w:rPr>
                <w:rFonts w:ascii="Garamond" w:hAnsi="Garamond"/>
              </w:rPr>
              <w:t>Chimimanda</w:t>
            </w:r>
            <w:proofErr w:type="spellEnd"/>
            <w:r>
              <w:rPr>
                <w:rFonts w:ascii="Garamond" w:hAnsi="Garamond"/>
              </w:rPr>
              <w:t xml:space="preserve"> </w:t>
            </w:r>
            <w:proofErr w:type="spellStart"/>
            <w:r>
              <w:rPr>
                <w:rFonts w:ascii="Garamond" w:hAnsi="Garamond"/>
              </w:rPr>
              <w:t>Adichie</w:t>
            </w:r>
            <w:proofErr w:type="spellEnd"/>
            <w:r>
              <w:rPr>
                <w:rFonts w:ascii="Garamond" w:hAnsi="Garamond"/>
              </w:rPr>
              <w:t>, “The Danger of a Single Story” (Video); Assign Autobiography of a Reader</w:t>
            </w:r>
          </w:p>
        </w:tc>
      </w:tr>
      <w:tr w:rsidR="00EB1F19" w:rsidRPr="00F12425">
        <w:tc>
          <w:tcPr>
            <w:tcW w:w="1998" w:type="dxa"/>
          </w:tcPr>
          <w:p w:rsidR="00EB1F19" w:rsidRDefault="00EB1F19">
            <w:pPr>
              <w:rPr>
                <w:rFonts w:ascii="Garamond" w:hAnsi="Garamond"/>
              </w:rPr>
            </w:pPr>
            <w:r>
              <w:rPr>
                <w:rFonts w:ascii="Garamond" w:hAnsi="Garamond"/>
              </w:rPr>
              <w:t>Wednesday 8/27</w:t>
            </w:r>
          </w:p>
        </w:tc>
        <w:tc>
          <w:tcPr>
            <w:tcW w:w="7578" w:type="dxa"/>
          </w:tcPr>
          <w:p w:rsidR="00EB1F19" w:rsidRDefault="00EB1F19">
            <w:pPr>
              <w:rPr>
                <w:rFonts w:ascii="Garamond" w:hAnsi="Garamond"/>
              </w:rPr>
            </w:pPr>
            <w:r>
              <w:rPr>
                <w:rFonts w:ascii="Garamond" w:hAnsi="Garamond"/>
                <w:b/>
              </w:rPr>
              <w:t xml:space="preserve">Reading Due: </w:t>
            </w:r>
            <w:r>
              <w:rPr>
                <w:rFonts w:ascii="Garamond" w:hAnsi="Garamond"/>
              </w:rPr>
              <w:t>Emily Dickinson, “[I dwell in possibility—]” (Norton 699); Theodore Roethke, “My Papa’s Waltz” (Norton 791); William Carlos Williams, “This is Just to Say” (Norton 797)</w:t>
            </w:r>
          </w:p>
          <w:p w:rsidR="00EB1F19" w:rsidRDefault="00EB1F19">
            <w:pPr>
              <w:rPr>
                <w:rFonts w:ascii="Garamond" w:hAnsi="Garamond"/>
              </w:rPr>
            </w:pPr>
          </w:p>
          <w:p w:rsidR="00EB1F19" w:rsidRPr="005E7477" w:rsidRDefault="00EB1F19">
            <w:pPr>
              <w:rPr>
                <w:rFonts w:ascii="Garamond" w:hAnsi="Garamond"/>
              </w:rPr>
            </w:pPr>
            <w:r>
              <w:rPr>
                <w:rFonts w:ascii="Garamond" w:hAnsi="Garamond"/>
                <w:b/>
              </w:rPr>
              <w:t xml:space="preserve">In Class: </w:t>
            </w:r>
            <w:r>
              <w:rPr>
                <w:rFonts w:ascii="Garamond" w:hAnsi="Garamond"/>
              </w:rPr>
              <w:t>Music analysis, Assign Response Papers, Assign Presentation</w:t>
            </w:r>
          </w:p>
          <w:p w:rsidR="00EB1F19" w:rsidRDefault="00EB1F19">
            <w:pPr>
              <w:rPr>
                <w:rFonts w:ascii="Garamond" w:hAnsi="Garamond"/>
              </w:rPr>
            </w:pPr>
          </w:p>
          <w:p w:rsidR="00EB1F19" w:rsidRPr="00F12425" w:rsidRDefault="00EB1F19">
            <w:pPr>
              <w:rPr>
                <w:rFonts w:ascii="Garamond" w:hAnsi="Garamond"/>
                <w:b/>
                <w:u w:val="single"/>
              </w:rPr>
            </w:pPr>
            <w:r>
              <w:rPr>
                <w:rFonts w:ascii="Garamond" w:hAnsi="Garamond"/>
                <w:b/>
              </w:rPr>
              <w:t xml:space="preserve">Turn in: </w:t>
            </w:r>
            <w:r>
              <w:rPr>
                <w:rFonts w:ascii="Garamond" w:hAnsi="Garamond"/>
                <w:b/>
                <w:u w:val="single"/>
              </w:rPr>
              <w:t>1 PARAGRAPH ROUGH DRAFT OF AUTOBIOGRAPHY</w:t>
            </w:r>
          </w:p>
        </w:tc>
      </w:tr>
      <w:tr w:rsidR="00EB1F19" w:rsidRPr="002936C4">
        <w:tc>
          <w:tcPr>
            <w:tcW w:w="9576" w:type="dxa"/>
            <w:gridSpan w:val="2"/>
          </w:tcPr>
          <w:p w:rsidR="00EB1F19" w:rsidRPr="002936C4" w:rsidRDefault="00EB1F19" w:rsidP="002936C4">
            <w:pPr>
              <w:jc w:val="center"/>
              <w:rPr>
                <w:rFonts w:ascii="Garamond" w:hAnsi="Garamond"/>
                <w:b/>
              </w:rPr>
            </w:pPr>
            <w:r>
              <w:rPr>
                <w:rFonts w:ascii="Garamond" w:hAnsi="Garamond"/>
                <w:b/>
              </w:rPr>
              <w:t>WEEK 2</w:t>
            </w:r>
          </w:p>
        </w:tc>
      </w:tr>
      <w:tr w:rsidR="00EB1F19" w:rsidRPr="00DE1EE6">
        <w:tc>
          <w:tcPr>
            <w:tcW w:w="1998" w:type="dxa"/>
          </w:tcPr>
          <w:p w:rsidR="00EB1F19" w:rsidRDefault="00EB1F19">
            <w:pPr>
              <w:rPr>
                <w:rFonts w:ascii="Garamond" w:hAnsi="Garamond"/>
              </w:rPr>
            </w:pPr>
            <w:r>
              <w:rPr>
                <w:rFonts w:ascii="Garamond" w:hAnsi="Garamond"/>
              </w:rPr>
              <w:t>Monday 9/1</w:t>
            </w:r>
          </w:p>
        </w:tc>
        <w:tc>
          <w:tcPr>
            <w:tcW w:w="7578" w:type="dxa"/>
          </w:tcPr>
          <w:p w:rsidR="00EB1F19" w:rsidRDefault="00EB1F19">
            <w:pPr>
              <w:rPr>
                <w:rFonts w:ascii="Garamond" w:hAnsi="Garamond"/>
                <w:b/>
              </w:rPr>
            </w:pPr>
          </w:p>
          <w:p w:rsidR="00EB1F19" w:rsidRDefault="00EB1F19">
            <w:pPr>
              <w:rPr>
                <w:rFonts w:ascii="Garamond" w:hAnsi="Garamond"/>
                <w:b/>
              </w:rPr>
            </w:pPr>
            <w:r>
              <w:rPr>
                <w:rFonts w:ascii="Garamond" w:hAnsi="Garamond"/>
                <w:b/>
              </w:rPr>
              <w:t>LABOR DAY—NO CLASS</w:t>
            </w:r>
          </w:p>
          <w:p w:rsidR="00EB1F19" w:rsidRPr="00DE1EE6" w:rsidRDefault="00EB1F19">
            <w:pPr>
              <w:rPr>
                <w:rFonts w:ascii="Garamond" w:hAnsi="Garamond"/>
                <w:b/>
              </w:rPr>
            </w:pPr>
          </w:p>
        </w:tc>
      </w:tr>
      <w:tr w:rsidR="00EB1F19" w:rsidRPr="00F12425">
        <w:tc>
          <w:tcPr>
            <w:tcW w:w="1998" w:type="dxa"/>
          </w:tcPr>
          <w:p w:rsidR="00EB1F19" w:rsidRDefault="00EB1F19">
            <w:pPr>
              <w:rPr>
                <w:rFonts w:ascii="Garamond" w:hAnsi="Garamond"/>
              </w:rPr>
            </w:pPr>
            <w:r>
              <w:rPr>
                <w:rFonts w:ascii="Garamond" w:hAnsi="Garamond"/>
              </w:rPr>
              <w:t>Wednesday 9/3</w:t>
            </w:r>
          </w:p>
          <w:p w:rsidR="00EB1F19" w:rsidRPr="00610D8B" w:rsidRDefault="00EB1F19">
            <w:pPr>
              <w:rPr>
                <w:rFonts w:ascii="Garamond" w:hAnsi="Garamond"/>
                <w:i/>
              </w:rPr>
            </w:pPr>
            <w:r>
              <w:rPr>
                <w:rFonts w:ascii="Garamond" w:hAnsi="Garamond"/>
                <w:i/>
              </w:rPr>
              <w:t>II. Formal Transformations</w:t>
            </w:r>
          </w:p>
        </w:tc>
        <w:tc>
          <w:tcPr>
            <w:tcW w:w="7578" w:type="dxa"/>
          </w:tcPr>
          <w:p w:rsidR="00EB1F19" w:rsidRDefault="00EB1F19">
            <w:pPr>
              <w:rPr>
                <w:rFonts w:ascii="Garamond" w:hAnsi="Garamond"/>
              </w:rPr>
            </w:pPr>
            <w:r>
              <w:rPr>
                <w:rFonts w:ascii="Garamond" w:hAnsi="Garamond"/>
                <w:b/>
              </w:rPr>
              <w:t xml:space="preserve">Reading Due: </w:t>
            </w:r>
            <w:r>
              <w:rPr>
                <w:rFonts w:ascii="Garamond" w:hAnsi="Garamond"/>
              </w:rPr>
              <w:t>Raymond Carver, “Cathedral” (Norton 32); Margaret Atwood, “Happy Endings” (ICON), Edgar Allan Poe, “The Cask of Amontillado” (Norton 164)</w:t>
            </w:r>
          </w:p>
          <w:p w:rsidR="00EB1F19" w:rsidRDefault="00EB1F19">
            <w:pPr>
              <w:rPr>
                <w:rFonts w:ascii="Garamond" w:hAnsi="Garamond"/>
              </w:rPr>
            </w:pPr>
          </w:p>
          <w:p w:rsidR="00EB1F19" w:rsidRPr="005E7477" w:rsidRDefault="00EB1F19">
            <w:pPr>
              <w:rPr>
                <w:rFonts w:ascii="Garamond" w:hAnsi="Garamond"/>
              </w:rPr>
            </w:pPr>
            <w:r>
              <w:rPr>
                <w:rFonts w:ascii="Garamond" w:hAnsi="Garamond"/>
                <w:b/>
              </w:rPr>
              <w:t xml:space="preserve">In Class: </w:t>
            </w:r>
            <w:r>
              <w:rPr>
                <w:rFonts w:ascii="Garamond" w:hAnsi="Garamond"/>
              </w:rPr>
              <w:t xml:space="preserve">Freytag’s Pyramid, Conflict, </w:t>
            </w:r>
            <w:proofErr w:type="spellStart"/>
            <w:r>
              <w:rPr>
                <w:rFonts w:ascii="Garamond" w:hAnsi="Garamond"/>
              </w:rPr>
              <w:t>Narratorial</w:t>
            </w:r>
            <w:proofErr w:type="spellEnd"/>
            <w:r>
              <w:rPr>
                <w:rFonts w:ascii="Garamond" w:hAnsi="Garamond"/>
              </w:rPr>
              <w:t xml:space="preserve"> Strategies</w:t>
            </w:r>
          </w:p>
          <w:p w:rsidR="00EB1F19" w:rsidRDefault="00EB1F19">
            <w:pPr>
              <w:rPr>
                <w:rFonts w:ascii="Garamond" w:hAnsi="Garamond"/>
              </w:rPr>
            </w:pPr>
          </w:p>
          <w:p w:rsidR="00EB1F19" w:rsidRPr="00F12425" w:rsidRDefault="00EB1F19">
            <w:pPr>
              <w:rPr>
                <w:rFonts w:ascii="Garamond" w:hAnsi="Garamond"/>
                <w:b/>
                <w:u w:val="single"/>
              </w:rPr>
            </w:pPr>
            <w:r>
              <w:rPr>
                <w:rFonts w:ascii="Garamond" w:hAnsi="Garamond"/>
                <w:b/>
              </w:rPr>
              <w:t xml:space="preserve">Turn in: </w:t>
            </w:r>
            <w:r>
              <w:rPr>
                <w:rFonts w:ascii="Garamond" w:hAnsi="Garamond"/>
                <w:b/>
                <w:u w:val="single"/>
              </w:rPr>
              <w:t>AUTOBIOGRAPHY OF A READER ESSAY</w:t>
            </w:r>
          </w:p>
        </w:tc>
      </w:tr>
      <w:tr w:rsidR="00EB1F19" w:rsidRPr="002936C4">
        <w:tc>
          <w:tcPr>
            <w:tcW w:w="9576" w:type="dxa"/>
            <w:gridSpan w:val="2"/>
          </w:tcPr>
          <w:p w:rsidR="00EB1F19" w:rsidRPr="002936C4" w:rsidRDefault="00EB1F19" w:rsidP="002936C4">
            <w:pPr>
              <w:jc w:val="center"/>
              <w:rPr>
                <w:rFonts w:ascii="Garamond" w:hAnsi="Garamond"/>
                <w:b/>
              </w:rPr>
            </w:pPr>
            <w:r>
              <w:rPr>
                <w:rFonts w:ascii="Garamond" w:hAnsi="Garamond"/>
                <w:b/>
              </w:rPr>
              <w:t>WEEK 3</w:t>
            </w:r>
          </w:p>
        </w:tc>
      </w:tr>
      <w:tr w:rsidR="00EB1F19" w:rsidRPr="00FE78E6">
        <w:tc>
          <w:tcPr>
            <w:tcW w:w="1998" w:type="dxa"/>
          </w:tcPr>
          <w:p w:rsidR="00EB1F19" w:rsidRDefault="00EB1F19">
            <w:pPr>
              <w:rPr>
                <w:rFonts w:ascii="Garamond" w:hAnsi="Garamond"/>
              </w:rPr>
            </w:pPr>
            <w:r>
              <w:rPr>
                <w:rFonts w:ascii="Garamond" w:hAnsi="Garamond"/>
              </w:rPr>
              <w:t>Monday 9/8</w:t>
            </w:r>
          </w:p>
        </w:tc>
        <w:tc>
          <w:tcPr>
            <w:tcW w:w="7578" w:type="dxa"/>
          </w:tcPr>
          <w:p w:rsidR="00EB1F19" w:rsidRDefault="00EB1F19">
            <w:pPr>
              <w:rPr>
                <w:rFonts w:ascii="Garamond" w:hAnsi="Garamond"/>
              </w:rPr>
            </w:pPr>
            <w:r>
              <w:rPr>
                <w:rFonts w:ascii="Garamond" w:hAnsi="Garamond"/>
                <w:b/>
              </w:rPr>
              <w:t xml:space="preserve">Reading Due: </w:t>
            </w:r>
            <w:r>
              <w:rPr>
                <w:rFonts w:ascii="Garamond" w:hAnsi="Garamond"/>
              </w:rPr>
              <w:t xml:space="preserve">William Shakespeare “[Not marble, nor the Gilded Monuments]” (Norton 892); Christina Rossetti, “In an Artist’s Studio” (Norton 895); </w:t>
            </w:r>
            <w:proofErr w:type="spellStart"/>
            <w:r>
              <w:rPr>
                <w:rFonts w:ascii="Garamond" w:hAnsi="Garamond"/>
              </w:rPr>
              <w:t>ee</w:t>
            </w:r>
            <w:proofErr w:type="spellEnd"/>
            <w:r>
              <w:rPr>
                <w:rFonts w:ascii="Garamond" w:hAnsi="Garamond"/>
              </w:rPr>
              <w:t xml:space="preserve"> </w:t>
            </w:r>
            <w:proofErr w:type="spellStart"/>
            <w:r>
              <w:rPr>
                <w:rFonts w:ascii="Garamond" w:hAnsi="Garamond"/>
              </w:rPr>
              <w:t>cummings</w:t>
            </w:r>
            <w:proofErr w:type="spellEnd"/>
            <w:r>
              <w:rPr>
                <w:rFonts w:ascii="Garamond" w:hAnsi="Garamond"/>
              </w:rPr>
              <w:t xml:space="preserve">, “[next to of course god America </w:t>
            </w:r>
            <w:proofErr w:type="spellStart"/>
            <w:r>
              <w:rPr>
                <w:rFonts w:ascii="Garamond" w:hAnsi="Garamond"/>
              </w:rPr>
              <w:t>i</w:t>
            </w:r>
            <w:proofErr w:type="spellEnd"/>
            <w:r>
              <w:rPr>
                <w:rFonts w:ascii="Garamond" w:hAnsi="Garamond"/>
              </w:rPr>
              <w:t>” (Norton 718); Walt Whitman, “I Hear America Singing” (Norton 865)</w:t>
            </w:r>
          </w:p>
          <w:p w:rsidR="00EB1F19" w:rsidRDefault="00EB1F19">
            <w:pPr>
              <w:rPr>
                <w:rFonts w:ascii="Garamond" w:hAnsi="Garamond"/>
              </w:rPr>
            </w:pPr>
          </w:p>
          <w:p w:rsidR="00EB1F19" w:rsidRPr="00FE78E6" w:rsidRDefault="00EB1F19" w:rsidP="005E7477">
            <w:pPr>
              <w:rPr>
                <w:rFonts w:ascii="Garamond" w:hAnsi="Garamond"/>
              </w:rPr>
            </w:pPr>
            <w:r>
              <w:rPr>
                <w:rFonts w:ascii="Garamond" w:hAnsi="Garamond"/>
                <w:b/>
              </w:rPr>
              <w:t xml:space="preserve">In Class: </w:t>
            </w:r>
            <w:r>
              <w:rPr>
                <w:rFonts w:ascii="Garamond" w:hAnsi="Garamond"/>
              </w:rPr>
              <w:t>Traits of a sonnet</w:t>
            </w:r>
          </w:p>
        </w:tc>
      </w:tr>
      <w:tr w:rsidR="00EB1F19" w:rsidRPr="008C59E3">
        <w:tc>
          <w:tcPr>
            <w:tcW w:w="1998" w:type="dxa"/>
          </w:tcPr>
          <w:p w:rsidR="00EB1F19" w:rsidRDefault="00EB1F19">
            <w:pPr>
              <w:rPr>
                <w:rFonts w:ascii="Garamond" w:hAnsi="Garamond"/>
              </w:rPr>
            </w:pPr>
            <w:r>
              <w:rPr>
                <w:rFonts w:ascii="Garamond" w:hAnsi="Garamond"/>
              </w:rPr>
              <w:t>Wednesday 9/10</w:t>
            </w:r>
          </w:p>
        </w:tc>
        <w:tc>
          <w:tcPr>
            <w:tcW w:w="7578" w:type="dxa"/>
          </w:tcPr>
          <w:p w:rsidR="00EB1F19" w:rsidRDefault="00EB1F19" w:rsidP="00AA58B1">
            <w:pPr>
              <w:rPr>
                <w:rFonts w:ascii="Garamond" w:hAnsi="Garamond"/>
              </w:rPr>
            </w:pPr>
            <w:r>
              <w:rPr>
                <w:rFonts w:ascii="Garamond" w:hAnsi="Garamond"/>
                <w:b/>
              </w:rPr>
              <w:t xml:space="preserve">Reading Due: </w:t>
            </w:r>
            <w:r>
              <w:rPr>
                <w:rFonts w:ascii="Garamond" w:hAnsi="Garamond"/>
              </w:rPr>
              <w:t>John Donne, “The Flea” (Norton 738); Andrew Marvell, “To His Coy Mistress” (Norton 739)</w:t>
            </w:r>
          </w:p>
          <w:p w:rsidR="00EB1F19" w:rsidRDefault="00EB1F19" w:rsidP="00AA58B1">
            <w:pPr>
              <w:rPr>
                <w:rFonts w:ascii="Garamond" w:hAnsi="Garamond"/>
              </w:rPr>
            </w:pPr>
          </w:p>
          <w:p w:rsidR="00EB1F19" w:rsidRPr="005E7477" w:rsidRDefault="00EB1F19" w:rsidP="00AA58B1">
            <w:pPr>
              <w:rPr>
                <w:rFonts w:ascii="Garamond" w:hAnsi="Garamond"/>
              </w:rPr>
            </w:pPr>
            <w:r>
              <w:rPr>
                <w:rFonts w:ascii="Garamond" w:hAnsi="Garamond"/>
                <w:b/>
              </w:rPr>
              <w:t>In Class:</w:t>
            </w:r>
            <w:r>
              <w:rPr>
                <w:rFonts w:ascii="Garamond" w:hAnsi="Garamond"/>
              </w:rPr>
              <w:t xml:space="preserve"> Assign Paper 1, Music Videos</w:t>
            </w:r>
          </w:p>
          <w:p w:rsidR="00EB1F19" w:rsidRDefault="00EB1F19" w:rsidP="00AA58B1">
            <w:pPr>
              <w:rPr>
                <w:rFonts w:ascii="Garamond" w:hAnsi="Garamond"/>
              </w:rPr>
            </w:pPr>
          </w:p>
          <w:p w:rsidR="00EB1F19" w:rsidRPr="008C59E3" w:rsidRDefault="00EB1F19" w:rsidP="008C59E3">
            <w:pPr>
              <w:rPr>
                <w:rFonts w:ascii="Garamond" w:hAnsi="Garamond"/>
                <w:b/>
                <w:u w:val="single"/>
              </w:rPr>
            </w:pPr>
            <w:r>
              <w:rPr>
                <w:rFonts w:ascii="Garamond" w:hAnsi="Garamond"/>
                <w:b/>
              </w:rPr>
              <w:t xml:space="preserve">Turn in: </w:t>
            </w:r>
            <w:r>
              <w:rPr>
                <w:rFonts w:ascii="Garamond" w:hAnsi="Garamond"/>
                <w:b/>
                <w:u w:val="single"/>
              </w:rPr>
              <w:t>READING RESPONSE 1</w:t>
            </w:r>
          </w:p>
        </w:tc>
      </w:tr>
    </w:tbl>
    <w:p w:rsidR="008F2942" w:rsidRPr="00EB1F19" w:rsidRDefault="008F2942">
      <w:pPr>
        <w:rPr>
          <w:rFonts w:asciiTheme="minorHAnsi" w:hAnsiTheme="minorHAnsi"/>
          <w:b/>
        </w:rPr>
      </w:pPr>
    </w:p>
    <w:sectPr w:rsidR="008F2942" w:rsidRPr="00EB1F19" w:rsidSect="008F294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F2942"/>
    <w:rsid w:val="002C0B16"/>
    <w:rsid w:val="00427647"/>
    <w:rsid w:val="004D77C9"/>
    <w:rsid w:val="00624202"/>
    <w:rsid w:val="008F2942"/>
    <w:rsid w:val="00EB1F19"/>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942"/>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B1F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742</Words>
  <Characters>4232</Characters>
  <Application>Microsoft Macintosh Word</Application>
  <DocSecurity>0</DocSecurity>
  <Lines>35</Lines>
  <Paragraphs>8</Paragraphs>
  <ScaleCrop>false</ScaleCrop>
  <LinksUpToDate>false</LinksUpToDate>
  <CharactersWithSpaces>5197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Steffes</dc:creator>
  <cp:keywords/>
  <cp:lastModifiedBy>Annmarie Steffes</cp:lastModifiedBy>
  <cp:revision>2</cp:revision>
  <dcterms:created xsi:type="dcterms:W3CDTF">2014-08-18T16:13:00Z</dcterms:created>
  <dcterms:modified xsi:type="dcterms:W3CDTF">2014-08-18T17:05:00Z</dcterms:modified>
</cp:coreProperties>
</file>